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2201" w:rsidRPr="00292E70" w:rsidRDefault="00F82201" w:rsidP="00E577E0">
      <w:pPr>
        <w:pStyle w:val="31"/>
        <w:ind w:left="0"/>
        <w:jc w:val="both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  <w:r w:rsidR="009357DB">
        <w:rPr>
          <w:sz w:val="24"/>
          <w:szCs w:val="24"/>
        </w:rPr>
        <w:t xml:space="preserve"> </w:t>
      </w:r>
      <w:bookmarkStart w:id="0" w:name="_GoBack"/>
      <w:bookmarkEnd w:id="0"/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9357DB">
        <w:rPr>
          <w:sz w:val="24"/>
          <w:szCs w:val="24"/>
        </w:rPr>
        <w:t>помещение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9357DB">
        <w:rPr>
          <w:sz w:val="24"/>
          <w:szCs w:val="24"/>
        </w:rPr>
        <w:t>помещения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за </w:t>
      </w:r>
      <w:r w:rsidR="00573383">
        <w:rPr>
          <w:rFonts w:ascii="Times New Roman" w:hAnsi="Times New Roman" w:cs="Times New Roman"/>
          <w:b/>
          <w:sz w:val="24"/>
          <w:szCs w:val="24"/>
        </w:rPr>
        <w:t>помещение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п.2.2.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2.5.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</w:t>
      </w:r>
      <w:r w:rsidRPr="00292E70">
        <w:rPr>
          <w:rFonts w:ascii="Times New Roman" w:hAnsi="Times New Roman" w:cs="Times New Roman"/>
          <w:sz w:val="24"/>
          <w:szCs w:val="24"/>
        </w:rPr>
        <w:lastRenderedPageBreak/>
        <w:t>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Pr="007B25B1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>На основании договора № __ купли-продажи муниципального недвижимого имущества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20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недвижимое имущество:__________________________________________________________________, расположенное  по адресу: 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</w:t>
      </w:r>
      <w:proofErr w:type="gramStart"/>
      <w:r w:rsidR="007B25B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573383"/>
    <w:rsid w:val="005A74E3"/>
    <w:rsid w:val="007B25B1"/>
    <w:rsid w:val="009357DB"/>
    <w:rsid w:val="00A66C11"/>
    <w:rsid w:val="00C779AB"/>
    <w:rsid w:val="00E577E0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9</cp:revision>
  <dcterms:created xsi:type="dcterms:W3CDTF">2019-09-23T02:15:00Z</dcterms:created>
  <dcterms:modified xsi:type="dcterms:W3CDTF">2020-03-18T23:47:00Z</dcterms:modified>
</cp:coreProperties>
</file>